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Mother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087E57" w:rsidRPr="005F658C" w:rsidRDefault="00087E57" w:rsidP="00BA4127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5719D3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025"/>
        <w:gridCol w:w="3493"/>
        <w:gridCol w:w="3493"/>
        <w:gridCol w:w="3493"/>
        <w:gridCol w:w="3493"/>
      </w:tblGrid>
      <w:tr w:rsidR="00087E57" w:rsidRPr="005F658C" w:rsidTr="00CA2467">
        <w:trPr>
          <w:trHeight w:val="187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7E57" w:rsidRPr="005F658C" w:rsidTr="00CA2467">
        <w:trPr>
          <w:trHeight w:val="55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87E57" w:rsidRPr="005F658C" w:rsidTr="00CA2467">
        <w:trPr>
          <w:trHeight w:val="1050"/>
        </w:trPr>
        <w:tc>
          <w:tcPr>
            <w:tcW w:w="3025" w:type="dxa"/>
          </w:tcPr>
          <w:p w:rsidR="00087E57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ekspresyon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pagpapakita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lokasyon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>(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dito,diyan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doon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>)</w:t>
            </w:r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71F13" w:rsidRPr="005F658C">
              <w:rPr>
                <w:rFonts w:ascii="Century Gothic" w:hAnsi="Century Gothic" w:cs="Tahoma"/>
                <w:szCs w:val="20"/>
              </w:rPr>
              <w:t>231-233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  <w:r w:rsidR="00471F13" w:rsidRPr="005F658C">
              <w:rPr>
                <w:rFonts w:ascii="Century Gothic" w:hAnsi="Century Gothic" w:cs="Tahoma"/>
                <w:szCs w:val="20"/>
              </w:rPr>
              <w:t>201203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unang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kitanang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kahusayan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(automaticity </w:t>
            </w:r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) </w:t>
            </w:r>
          </w:p>
          <w:p w:rsidR="00087E57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Nababaybay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tama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mataas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antas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unang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kita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ikalawang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baitang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. </w:t>
            </w: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471F13" w:rsidRPr="005F658C">
              <w:rPr>
                <w:rFonts w:ascii="Century Gothic" w:hAnsi="Century Gothic" w:cs="Tahoma"/>
                <w:szCs w:val="20"/>
              </w:rPr>
              <w:t>233-236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Naibibigay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kahulugan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salitang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binasa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087E57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Natutukoy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impormasyon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kuwento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sumasagot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literal at mas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mataas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antas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tanong</w:t>
            </w:r>
            <w:proofErr w:type="spellEnd"/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71F13" w:rsidRPr="005F658C">
              <w:rPr>
                <w:rFonts w:ascii="Century Gothic" w:hAnsi="Century Gothic" w:cs="Tahoma"/>
                <w:szCs w:val="20"/>
              </w:rPr>
              <w:t>237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>.  2</w:t>
            </w:r>
            <w:r w:rsidR="00471F13" w:rsidRPr="005F658C">
              <w:rPr>
                <w:rFonts w:ascii="Century Gothic" w:hAnsi="Century Gothic" w:cs="Tahoma"/>
                <w:szCs w:val="20"/>
              </w:rPr>
              <w:t>04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Natutukoy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kung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alin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simula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gitna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at wakas 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binasang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teksto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o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seleksiyon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087E57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Nakasusulat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maikling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kuwento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tagpuan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tauhan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mahahalagang</w:t>
            </w:r>
            <w:proofErr w:type="spellEnd"/>
            <w:r w:rsidRPr="005F658C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Arial"/>
                <w:color w:val="000000"/>
                <w:szCs w:val="20"/>
              </w:rPr>
              <w:t>pangyayari</w:t>
            </w:r>
            <w:proofErr w:type="spellEnd"/>
          </w:p>
          <w:p w:rsidR="00471F13" w:rsidRPr="005F658C" w:rsidRDefault="00471F13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471F13" w:rsidRPr="005F658C">
              <w:rPr>
                <w:rFonts w:ascii="Century Gothic" w:hAnsi="Century Gothic" w:cs="Tahoma"/>
                <w:szCs w:val="20"/>
              </w:rPr>
              <w:t>237-238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  <w:r w:rsidR="00471F13" w:rsidRPr="005F658C">
              <w:rPr>
                <w:rFonts w:ascii="Century Gothic" w:hAnsi="Century Gothic" w:cs="Tahoma"/>
                <w:szCs w:val="20"/>
              </w:rPr>
              <w:t>204-205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471F13" w:rsidRPr="005F658C" w:rsidRDefault="00471F13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471F13" w:rsidRPr="005F658C">
              <w:rPr>
                <w:rFonts w:ascii="Century Gothic" w:hAnsi="Century Gothic" w:cs="Tahoma"/>
                <w:szCs w:val="20"/>
              </w:rPr>
              <w:t>238-239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  <w:r w:rsidR="00471F13" w:rsidRPr="005F658C">
              <w:rPr>
                <w:rFonts w:ascii="Century Gothic" w:hAnsi="Century Gothic" w:cs="Tahoma"/>
                <w:szCs w:val="20"/>
              </w:rPr>
              <w:t>206-208</w:t>
            </w:r>
          </w:p>
        </w:tc>
      </w:tr>
      <w:tr w:rsidR="00087E57" w:rsidRPr="005F658C" w:rsidTr="00CA2467">
        <w:trPr>
          <w:trHeight w:val="1968"/>
        </w:trPr>
        <w:tc>
          <w:tcPr>
            <w:tcW w:w="3025" w:type="dxa"/>
          </w:tcPr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71F13" w:rsidRPr="005F658C" w:rsidRDefault="00471F1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</w:t>
      </w:r>
      <w:r w:rsidR="005C29A5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590"/>
        <w:gridCol w:w="3583"/>
        <w:gridCol w:w="3625"/>
        <w:gridCol w:w="3578"/>
      </w:tblGrid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5C29A5">
        <w:trPr>
          <w:trHeight w:val="2299"/>
        </w:trPr>
        <w:tc>
          <w:tcPr>
            <w:tcW w:w="3066" w:type="dxa"/>
          </w:tcPr>
          <w:p w:rsidR="005C29A5" w:rsidRPr="005F658C" w:rsidRDefault="005C29A5" w:rsidP="005C29A5">
            <w:pPr>
              <w:pStyle w:val="NoSpacing"/>
              <w:rPr>
                <w:rFonts w:ascii="Century Gothic" w:hAnsi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 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magagalang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tulad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pakikipag-usap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telepono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</w:p>
          <w:p w:rsidR="005C29A5" w:rsidRPr="005F658C" w:rsidRDefault="005C29A5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pp.241-243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5C29A5" w:rsidRPr="005C29A5" w:rsidRDefault="005C29A5" w:rsidP="005C29A5">
            <w:pPr>
              <w:autoSpaceDE w:val="0"/>
              <w:autoSpaceDN w:val="0"/>
              <w:adjustRightInd w:val="0"/>
              <w:spacing w:after="0" w:line="240" w:lineRule="auto"/>
              <w:ind w:left="-96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Nakagagamit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ikalawang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baitang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C29A5" w:rsidRPr="005F658C" w:rsidRDefault="005C29A5" w:rsidP="005C29A5">
            <w:pPr>
              <w:pStyle w:val="NoSpacing"/>
              <w:ind w:left="-96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pagpapaliwanag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o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pagbibigay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dahilan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isyu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pangyayari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artikulo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balita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iba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pa</w:t>
            </w:r>
          </w:p>
          <w:p w:rsidR="005C29A5" w:rsidRPr="005F658C" w:rsidRDefault="005C29A5" w:rsidP="005C29A5">
            <w:pPr>
              <w:pStyle w:val="NoSpacing"/>
              <w:ind w:left="-96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</w:p>
          <w:p w:rsidR="003C2468" w:rsidRPr="005F658C" w:rsidRDefault="005C29A5" w:rsidP="005C29A5">
            <w:pPr>
              <w:pStyle w:val="NoSpacing"/>
              <w:ind w:left="-96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r w:rsidR="003C2468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5C29A5" w:rsidRPr="005F658C">
              <w:rPr>
                <w:rFonts w:ascii="Century Gothic" w:hAnsi="Century Gothic" w:cs="Tahoma"/>
                <w:szCs w:val="20"/>
              </w:rPr>
              <w:t>243-247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83" w:type="dxa"/>
          </w:tcPr>
          <w:p w:rsidR="005C29A5" w:rsidRPr="005F658C" w:rsidRDefault="005C29A5" w:rsidP="005C29A5">
            <w:pPr>
              <w:pStyle w:val="NoSpacing"/>
              <w:ind w:left="4"/>
              <w:rPr>
                <w:rFonts w:ascii="Century Gothic" w:hAnsi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Nababaybay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tama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kambal-katinigo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klaster</w:t>
            </w:r>
            <w:proofErr w:type="spellEnd"/>
          </w:p>
          <w:p w:rsidR="005C29A5" w:rsidRPr="005F658C" w:rsidRDefault="005C29A5" w:rsidP="005C29A5">
            <w:pPr>
              <w:pStyle w:val="NoSpacing"/>
              <w:rPr>
                <w:rFonts w:ascii="Century Gothic" w:hAnsi="Century Gothic"/>
                <w:b/>
                <w:bCs/>
                <w:szCs w:val="20"/>
              </w:rPr>
            </w:pP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r w:rsidR="003C2468"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5C29A5" w:rsidRPr="005F658C">
              <w:rPr>
                <w:rFonts w:ascii="Century Gothic" w:hAnsi="Century Gothic" w:cs="Tahoma"/>
                <w:szCs w:val="20"/>
              </w:rPr>
              <w:t>247-249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 241-242</w:t>
            </w:r>
          </w:p>
        </w:tc>
        <w:tc>
          <w:tcPr>
            <w:tcW w:w="3625" w:type="dxa"/>
          </w:tcPr>
          <w:p w:rsidR="005C29A5" w:rsidRPr="005C29A5" w:rsidRDefault="005C29A5" w:rsidP="005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C29A5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5C29A5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Nakasusunod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halimbawa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pagsulat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isang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liham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C29A5" w:rsidRPr="005C29A5" w:rsidRDefault="005C29A5" w:rsidP="005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pangkaibigan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C29A5" w:rsidRPr="005F658C" w:rsidRDefault="005C29A5" w:rsidP="005C29A5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Nakagbubuo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isang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kuwento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r w:rsidRPr="005F658C">
              <w:rPr>
                <w:rFonts w:ascii="Century Gothic" w:eastAsiaTheme="minorEastAsia" w:hAnsi="Century Gothic" w:cs="Arial"/>
                <w:b/>
                <w:bCs/>
                <w:color w:val="000000"/>
                <w:szCs w:val="20"/>
              </w:rPr>
              <w:t xml:space="preserve">advertisement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atbp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gamit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angkop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mgasalita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teksto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. </w:t>
            </w:r>
          </w:p>
          <w:p w:rsidR="005C29A5" w:rsidRPr="005F658C" w:rsidRDefault="005C29A5" w:rsidP="005C29A5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5C29A5" w:rsidRPr="005F658C">
              <w:rPr>
                <w:rFonts w:ascii="Century Gothic" w:hAnsi="Century Gothic" w:cs="Tahoma"/>
                <w:szCs w:val="20"/>
              </w:rPr>
              <w:t>249-250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 243-245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 w:rsidR="005C29A5" w:rsidRPr="005F658C">
              <w:rPr>
                <w:rFonts w:ascii="Century Gothic" w:hAnsi="Century Gothic" w:cs="Tahoma"/>
                <w:szCs w:val="20"/>
              </w:rPr>
              <w:t>e: pp. 250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 246-247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5241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5C29A5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5C29A5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5C29A5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5C29A5" w:rsidRPr="005F658C" w:rsidRDefault="005C29A5" w:rsidP="005C29A5">
            <w:pPr>
              <w:pStyle w:val="NoSpacing"/>
              <w:ind w:left="-97"/>
              <w:rPr>
                <w:rFonts w:ascii="Century Gothic" w:hAnsi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pautos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pagbibigay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3-6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simpleng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panuto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o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hakbang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</w:p>
          <w:p w:rsidR="005C29A5" w:rsidRPr="005F658C" w:rsidRDefault="005C29A5" w:rsidP="005C29A5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5C29A5" w:rsidRPr="005F658C">
              <w:rPr>
                <w:rFonts w:ascii="Century Gothic" w:hAnsi="Century Gothic" w:cs="Tahoma"/>
                <w:szCs w:val="20"/>
              </w:rPr>
              <w:t>252-254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C29A5" w:rsidRPr="005C29A5" w:rsidRDefault="005C29A5" w:rsidP="005C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Nakapaghihinuha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kung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ano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angmaaring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maganap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susunodna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pangyayari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C29A5">
              <w:rPr>
                <w:rFonts w:ascii="Century Gothic" w:hAnsi="Century Gothic" w:cs="Arial"/>
                <w:color w:val="000000"/>
                <w:szCs w:val="20"/>
              </w:rPr>
              <w:t>alamat</w:t>
            </w:r>
            <w:proofErr w:type="spellEnd"/>
            <w:r w:rsidRPr="005C29A5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5C29A5" w:rsidP="005C29A5">
            <w:pPr>
              <w:pStyle w:val="NoSpacing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Nakagagamit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salita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angkop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ikalawang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baitang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pagsasadula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paglalarawan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pagkaunawa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teksto</w:t>
            </w:r>
            <w:proofErr w:type="spellEnd"/>
          </w:p>
          <w:p w:rsidR="005C29A5" w:rsidRPr="005F658C" w:rsidRDefault="005C29A5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5C29A5" w:rsidRPr="005F658C">
              <w:rPr>
                <w:rFonts w:ascii="Century Gothic" w:hAnsi="Century Gothic" w:cs="Tahoma"/>
                <w:szCs w:val="20"/>
              </w:rPr>
              <w:t>254-257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5C29A5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547" w:type="dxa"/>
          </w:tcPr>
          <w:p w:rsidR="003C2468" w:rsidRPr="005F658C" w:rsidRDefault="00C3099F" w:rsidP="00C3099F">
            <w:pPr>
              <w:pStyle w:val="NoSpacing"/>
              <w:ind w:left="-100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ngalamat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diptonggo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>.</w:t>
            </w:r>
          </w:p>
          <w:p w:rsidR="00C3099F" w:rsidRPr="005F658C" w:rsidRDefault="00C3099F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C3099F" w:rsidRPr="005F658C">
              <w:rPr>
                <w:rFonts w:ascii="Century Gothic" w:hAnsi="Century Gothic" w:cs="Tahoma"/>
                <w:szCs w:val="20"/>
              </w:rPr>
              <w:t>257-258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>.  251-252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3099F" w:rsidRPr="00C3099F" w:rsidRDefault="00C3099F" w:rsidP="00C3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C3099F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C3099F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Nakasusunod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halimbawa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pagsulat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isang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liham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pangkaibigan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liham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3099F">
              <w:rPr>
                <w:rFonts w:ascii="Century Gothic" w:hAnsi="Century Gothic" w:cs="Arial"/>
                <w:color w:val="000000"/>
                <w:szCs w:val="20"/>
              </w:rPr>
              <w:t>pasasalamat</w:t>
            </w:r>
            <w:proofErr w:type="spellEnd"/>
            <w:r w:rsidRPr="00C3099F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C3099F" w:rsidP="00C3099F">
            <w:pPr>
              <w:pStyle w:val="NoSpacing"/>
              <w:rPr>
                <w:rFonts w:ascii="Century Gothic" w:eastAsiaTheme="minorEastAsia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Nakasusulat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Liham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Pasasalamat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tama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pormat</w:t>
            </w:r>
            <w:proofErr w:type="spellEnd"/>
          </w:p>
          <w:p w:rsidR="00C3099F" w:rsidRPr="005F658C" w:rsidRDefault="00C3099F" w:rsidP="00C3099F">
            <w:pPr>
              <w:pStyle w:val="NoSpacing"/>
              <w:rPr>
                <w:rFonts w:ascii="Century Gothic" w:hAnsi="Century Gothic" w:cs="Century Gothic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C3099F" w:rsidRPr="005F658C">
              <w:rPr>
                <w:rFonts w:ascii="Century Gothic" w:hAnsi="Century Gothic" w:cs="Tahoma"/>
                <w:szCs w:val="20"/>
              </w:rPr>
              <w:t>258-259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>.  253-255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C3099F" w:rsidRPr="005F658C" w:rsidRDefault="00C3099F" w:rsidP="00C3099F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</w:t>
            </w:r>
            <w:r w:rsidR="00A72D41" w:rsidRPr="005F658C">
              <w:rPr>
                <w:rFonts w:ascii="Century Gothic" w:hAnsi="Century Gothic" w:cs="Tahoma"/>
                <w:szCs w:val="20"/>
              </w:rPr>
              <w:t>e: pp. 259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3099F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 256-257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76147D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76147D" w:rsidP="0076147D">
            <w:pPr>
              <w:pStyle w:val="NoSpacing"/>
              <w:rPr>
                <w:rFonts w:ascii="Century Gothic" w:eastAsiaTheme="minorEastAsia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pautos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upang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makapagbigay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3-6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simpleng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panuto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o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hakbang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</w:p>
          <w:p w:rsidR="0076147D" w:rsidRPr="005F658C" w:rsidRDefault="0076147D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76147D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Guide:pp.261-262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>.  258-259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6147D" w:rsidRPr="0076147D" w:rsidRDefault="00CD5C76" w:rsidP="0076147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Nakapag-uusap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nakapagtatalakay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tungkol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sikat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tao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lugar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pangyayari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atbp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.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gamit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ang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salitang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naglalarawan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sariling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>kultura</w:t>
            </w:r>
            <w:proofErr w:type="spellEnd"/>
            <w:r w:rsidR="0076147D" w:rsidRPr="0076147D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76147D" w:rsidP="0076147D">
            <w:pPr>
              <w:pStyle w:val="NoSpacing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Naibibigay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kahulugan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salitang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binasa</w:t>
            </w:r>
            <w:proofErr w:type="spellEnd"/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eastAsiaTheme="minorEastAsia" w:hAnsi="Century Gothic" w:cs="Century Gothic"/>
                <w:szCs w:val="20"/>
              </w:rPr>
            </w:pP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CD5C76" w:rsidRPr="005F658C">
              <w:rPr>
                <w:rFonts w:ascii="Century Gothic" w:hAnsi="Century Gothic" w:cs="Tahoma"/>
                <w:szCs w:val="20"/>
              </w:rPr>
              <w:t>263-266</w:t>
            </w:r>
          </w:p>
          <w:p w:rsidR="003C2468" w:rsidRPr="005F658C" w:rsidRDefault="003C2468" w:rsidP="0076147D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CD5C76" w:rsidRPr="00CD5C76" w:rsidRDefault="00CD5C76" w:rsidP="00C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Nakababasa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unang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kita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ikalawang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baitang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nangmay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kahusayan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CD5C76" w:rsidP="00CD5C76">
            <w:pPr>
              <w:pStyle w:val="NoSpacing"/>
              <w:rPr>
                <w:rFonts w:ascii="Century Gothic" w:eastAsiaTheme="minorEastAsia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Nababaybay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salita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nakatala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talasalitaan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tama</w:t>
            </w:r>
          </w:p>
          <w:p w:rsidR="00CD5C76" w:rsidRPr="005F658C" w:rsidRDefault="00CD5C76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</w:t>
            </w:r>
            <w:r w:rsidR="00CD5C76" w:rsidRPr="005F658C">
              <w:rPr>
                <w:rFonts w:ascii="Century Gothic" w:hAnsi="Century Gothic" w:cs="Tahoma"/>
                <w:szCs w:val="20"/>
              </w:rPr>
              <w:t>.267-268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ind w:left="-1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D5C76" w:rsidRPr="00CD5C76" w:rsidRDefault="00CD5C76" w:rsidP="00CD5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CD5C76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CD5C76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Nakasusunodsa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halimbawa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pagsulat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isang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liham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pangkaibigan,liham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humihingi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paumanhin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3C2468" w:rsidRPr="005F658C" w:rsidRDefault="00CD5C76" w:rsidP="00CD5C76">
            <w:pPr>
              <w:pStyle w:val="NoSpacing"/>
              <w:rPr>
                <w:rFonts w:ascii="Century Gothic" w:eastAsiaTheme="minorEastAsia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Nakasusulat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liham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tama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pormat</w:t>
            </w:r>
            <w:proofErr w:type="spellEnd"/>
          </w:p>
          <w:p w:rsidR="00CD5C76" w:rsidRPr="005F658C" w:rsidRDefault="00CD5C76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CD5C76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pp.268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3C2468" w:rsidRPr="005F658C" w:rsidRDefault="003C2468" w:rsidP="00CD5C76">
            <w:pPr>
              <w:pStyle w:val="NoSpacing"/>
              <w:ind w:left="43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CD5C76" w:rsidRPr="005F658C">
              <w:rPr>
                <w:rFonts w:ascii="Century Gothic" w:hAnsi="Century Gothic" w:cs="Tahoma"/>
                <w:szCs w:val="20"/>
              </w:rPr>
              <w:t>269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390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CD5C76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2D6C4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</w:t>
      </w:r>
      <w:r w:rsidR="003C2468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 Quarter</w:t>
      </w: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CD5C76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CD5C76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CD5C76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Nakagagamit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magagalang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sariling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kultura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tuladng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pakikipag-usap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telepono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271-272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F658C" w:rsidRPr="00CD5C76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Nakapag-uusap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at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nakapagtatalakay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tungkol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sikat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tao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lugar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pangyayari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atbp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.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gamit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salitang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naglalarawan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sariling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kultura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F658C" w:rsidRPr="005F658C" w:rsidRDefault="005F658C" w:rsidP="00BA4127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Nakapaghihinuha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kung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angmaaring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maganap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susunodna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pangyayari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kuwento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alamat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atbp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.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References:Teacher’s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 Guide: pp. 273-275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BA4127" w:rsidRDefault="005F658C" w:rsidP="00BA4127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5F658C" w:rsidRPr="00CD5C76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Nakababasa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tekstong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ikalawang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baitang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nangmalakas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at may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bahagdang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95-100%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Nakapaghihinuha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kung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angmaaring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maganap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susunodna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mga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pangyayari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kuwento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alamat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atbp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.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pp.275-276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5F658C" w:rsidRPr="00CD5C76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ind w:left="-47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Nakasusulat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maikling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kuwento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may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tagpuan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,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tauhan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at </w:t>
            </w:r>
          </w:p>
          <w:p w:rsidR="005F658C" w:rsidRPr="00CD5C76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ind w:left="-47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proofErr w:type="gram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proofErr w:type="gram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D5C76">
              <w:rPr>
                <w:rFonts w:ascii="Century Gothic" w:hAnsi="Century Gothic" w:cs="Arial"/>
                <w:color w:val="000000"/>
                <w:szCs w:val="20"/>
              </w:rPr>
              <w:t>pangyayari</w:t>
            </w:r>
            <w:proofErr w:type="spellEnd"/>
            <w:r w:rsidRPr="00CD5C76">
              <w:rPr>
                <w:rFonts w:ascii="Century Gothic" w:hAnsi="Century Gothic" w:cs="Arial"/>
                <w:color w:val="000000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Nakasusulat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liham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pasasalamat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tamang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pormat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.</w:t>
            </w: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276-277</w:t>
            </w: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4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277-278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Pr="005F658C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BA4127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FF2BAF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MOTHER TONGUE</w:t>
      </w:r>
      <w:r w:rsidR="00CD5C76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 Quarter</w:t>
      </w:r>
      <w:proofErr w:type="gram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pautos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upang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makapagbigay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3-6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simpleng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panuto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o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hakbang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280-281</w:t>
            </w:r>
          </w:p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9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wasto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kahusayan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mgakuwento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alamat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artikulo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sanaysay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atbp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pp.281-284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5F658C" w:rsidRPr="005F658C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Century Gothic" w:hAnsi="Century Gothic" w:cs="Century Gothic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hindi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bababa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200 - 300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ikalawang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baitang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pp.284-285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63" w:type="dxa"/>
          </w:tcPr>
          <w:p w:rsidR="005F658C" w:rsidRPr="00A32497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A32497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A32497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Nakasusunod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halimbawa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sa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pagsulat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isang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liham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A32497">
              <w:rPr>
                <w:rFonts w:ascii="Century Gothic" w:hAnsi="Century Gothic" w:cs="Arial"/>
                <w:color w:val="000000"/>
                <w:szCs w:val="20"/>
              </w:rPr>
              <w:t>pasasalamat</w:t>
            </w:r>
            <w:proofErr w:type="spellEnd"/>
            <w:r w:rsidRPr="00A3249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Nakasusulat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liham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pasasalamat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na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tama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ang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porma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.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285-286</w:t>
            </w:r>
          </w:p>
          <w:p w:rsidR="005F658C" w:rsidRPr="005F658C" w:rsidRDefault="005F658C" w:rsidP="004B33D3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13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286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ind w:left="-10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\</w:t>
      </w: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\</w:t>
      </w: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Pr="005F658C" w:rsidRDefault="00BA4127" w:rsidP="00FF2BA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45113E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F2BAF" w:rsidRPr="005F658C" w:rsidTr="004B33D3">
        <w:trPr>
          <w:trHeight w:val="279"/>
          <w:jc w:val="center"/>
        </w:trPr>
        <w:tc>
          <w:tcPr>
            <w:tcW w:w="351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2BAF" w:rsidRPr="005F658C" w:rsidTr="004B33D3">
        <w:trPr>
          <w:trHeight w:val="299"/>
          <w:jc w:val="center"/>
        </w:trPr>
        <w:tc>
          <w:tcPr>
            <w:tcW w:w="3513" w:type="dxa"/>
          </w:tcPr>
          <w:p w:rsidR="00FF2BAF" w:rsidRPr="005F658C" w:rsidRDefault="00FF2BAF" w:rsidP="004B33D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F2BAF" w:rsidRPr="005F658C" w:rsidRDefault="00FF2BAF" w:rsidP="004B33D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F2BAF" w:rsidRPr="005F658C" w:rsidRDefault="00FF2BAF" w:rsidP="004B33D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F2BAF" w:rsidRPr="005F658C" w:rsidRDefault="00FF2BAF" w:rsidP="004B33D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F2BAF" w:rsidRPr="005F658C" w:rsidRDefault="00FF2BAF" w:rsidP="004B33D3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4B33D3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4B33D3">
            <w:pPr>
              <w:pStyle w:val="NoSpacing"/>
              <w:ind w:left="-105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magagalang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tulad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pakikipag-usap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telepono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pp.288-289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5F658C" w:rsidRPr="005F658C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Naipakikita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pag-unawa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tekstong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inpormasyunal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pamamagitan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pagtukoy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sanhi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bunga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pp. 289-290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47" w:type="dxa"/>
          </w:tcPr>
          <w:p w:rsidR="005F658C" w:rsidRPr="005F658C" w:rsidRDefault="005F658C" w:rsidP="004B33D3">
            <w:pPr>
              <w:pStyle w:val="NoSpacing"/>
              <w:ind w:left="-21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Nakapaghahambing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kung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paano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ginamit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akda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pampanitikang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elemento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291-292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Nakasusulat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maikling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kuwento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tagpuan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tauhan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at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pangyayari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292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>.  170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pp.293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4B33D3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4B33D3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C03366" w:rsidRPr="005F658C" w:rsidRDefault="00C03366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BA4127" w:rsidRDefault="00BA4127" w:rsidP="005719D3">
      <w:pPr>
        <w:pStyle w:val="NoSpacing"/>
        <w:jc w:val="center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ED047E" w:rsidRPr="005F658C" w:rsidRDefault="00ED047E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D94E97" w:rsidRPr="005F658C" w:rsidRDefault="00D94E97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 Quarter</w:t>
      </w:r>
    </w:p>
    <w:p w:rsidR="00ED047E" w:rsidRPr="005F658C" w:rsidRDefault="00ED047E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6747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2853"/>
      </w:tblGrid>
      <w:tr w:rsidR="00ED047E" w:rsidRPr="005F658C" w:rsidTr="00A32497">
        <w:trPr>
          <w:trHeight w:val="292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53" w:type="dxa"/>
          </w:tcPr>
          <w:p w:rsidR="00ED047E" w:rsidRPr="005F658C" w:rsidRDefault="00ED047E" w:rsidP="00D94E97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D047E" w:rsidRPr="005F658C" w:rsidTr="00A32497">
        <w:trPr>
          <w:trHeight w:val="313"/>
          <w:jc w:val="center"/>
        </w:trPr>
        <w:tc>
          <w:tcPr>
            <w:tcW w:w="342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53" w:type="dxa"/>
          </w:tcPr>
          <w:p w:rsidR="00ED047E" w:rsidRPr="005F658C" w:rsidRDefault="00ED047E" w:rsidP="00D60BD4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A32497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magagalang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pakikipag-usap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telepono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294-295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5F658C" w:rsidRPr="005F658C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Nakagagamit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ikalawang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pagsasadula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paglalarawan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pagkaunawa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isang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teksto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Guide:295-298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pp. 198-199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8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tekstong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ikalawang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malakas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kawastuang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95-100%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298-299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Nakasusulat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tekstong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ikalawang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malakas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kawastuang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95-100%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299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285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pp.299-300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A32497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285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3249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A458B0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236EF9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236EF9" w:rsidRPr="005F658C" w:rsidRDefault="00236EF9" w:rsidP="00236EF9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Mother </w:t>
      </w: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Tongue  2</w:t>
      </w:r>
      <w:proofErr w:type="gramEnd"/>
    </w:p>
    <w:p w:rsidR="00236EF9" w:rsidRPr="005F658C" w:rsidRDefault="005F658C" w:rsidP="005F658C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</w:t>
      </w:r>
      <w:r w:rsidR="00236EF9"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236EF9" w:rsidRPr="005F658C" w:rsidRDefault="00236EF9" w:rsidP="00236EF9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17184" w:type="dxa"/>
        <w:jc w:val="center"/>
        <w:tblLayout w:type="fixed"/>
        <w:tblLook w:val="04A0" w:firstRow="1" w:lastRow="0" w:firstColumn="1" w:lastColumn="0" w:noHBand="0" w:noVBand="1"/>
      </w:tblPr>
      <w:tblGrid>
        <w:gridCol w:w="3423"/>
        <w:gridCol w:w="3333"/>
        <w:gridCol w:w="3418"/>
        <w:gridCol w:w="3720"/>
        <w:gridCol w:w="3290"/>
      </w:tblGrid>
      <w:tr w:rsidR="00D94E97" w:rsidRPr="005F658C" w:rsidTr="004B33D3">
        <w:trPr>
          <w:trHeight w:val="292"/>
          <w:jc w:val="center"/>
        </w:trPr>
        <w:tc>
          <w:tcPr>
            <w:tcW w:w="3423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20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90" w:type="dxa"/>
          </w:tcPr>
          <w:p w:rsidR="00D94E97" w:rsidRPr="005F658C" w:rsidRDefault="00D94E97" w:rsidP="004B33D3">
            <w:pPr>
              <w:pStyle w:val="NoSpacing"/>
              <w:tabs>
                <w:tab w:val="left" w:pos="538"/>
              </w:tabs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4E97" w:rsidRPr="005F658C" w:rsidTr="004B33D3">
        <w:trPr>
          <w:trHeight w:val="313"/>
          <w:jc w:val="center"/>
        </w:trPr>
        <w:tc>
          <w:tcPr>
            <w:tcW w:w="3423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33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18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20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290" w:type="dxa"/>
          </w:tcPr>
          <w:p w:rsidR="00D94E97" w:rsidRPr="005F658C" w:rsidRDefault="00D94E97" w:rsidP="004B33D3">
            <w:pPr>
              <w:pStyle w:val="NoSpacing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5F658C" w:rsidRPr="005F658C" w:rsidTr="004B33D3">
        <w:trPr>
          <w:trHeight w:val="313"/>
          <w:jc w:val="center"/>
        </w:trPr>
        <w:tc>
          <w:tcPr>
            <w:tcW w:w="3423" w:type="dxa"/>
          </w:tcPr>
          <w:p w:rsidR="005F658C" w:rsidRPr="00CA2467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Cs w:val="20"/>
              </w:rPr>
            </w:pPr>
            <w:proofErr w:type="spellStart"/>
            <w:r w:rsidRPr="00CA2467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>Layunin</w:t>
            </w:r>
            <w:proofErr w:type="spellEnd"/>
            <w:r w:rsidRPr="00CA2467">
              <w:rPr>
                <w:rFonts w:ascii="Century Gothic" w:hAnsi="Century Gothic" w:cs="Arial"/>
                <w:b/>
                <w:bCs/>
                <w:color w:val="000000"/>
                <w:szCs w:val="20"/>
              </w:rPr>
              <w:t xml:space="preserve">: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Nakagagamit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ng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mga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pautos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salita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upang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makapagbigay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3-6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nasimpleng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panuto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o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hakbang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na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CA2467">
              <w:rPr>
                <w:rFonts w:ascii="Century Gothic" w:hAnsi="Century Gothic" w:cs="Arial"/>
                <w:color w:val="000000"/>
                <w:szCs w:val="20"/>
              </w:rPr>
              <w:t>angkop</w:t>
            </w:r>
            <w:proofErr w:type="spellEnd"/>
            <w:r w:rsidRPr="00CA2467">
              <w:rPr>
                <w:rFonts w:ascii="Century Gothic" w:hAnsi="Century Gothic" w:cs="Arial"/>
                <w:color w:val="000000"/>
                <w:szCs w:val="20"/>
              </w:rPr>
              <w:t xml:space="preserve">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sariling</w:t>
            </w:r>
            <w:proofErr w:type="spellEnd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eastAsiaTheme="minorEastAsia" w:hAnsi="Century Gothic" w:cs="Arial"/>
                <w:color w:val="000000"/>
                <w:szCs w:val="20"/>
              </w:rPr>
              <w:t>kultura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302-303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3" w:type="dxa"/>
          </w:tcPr>
          <w:p w:rsidR="005F658C" w:rsidRPr="005F658C" w:rsidRDefault="005F658C" w:rsidP="004B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Nakapag-uusap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nakapagtatalakay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tungkol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sikat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tao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pangyayari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atbp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.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gamit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salitang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naglalarawan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angkop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sariling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kultura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Pp: 303-305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418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Nakababasa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wasto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kahusayan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mgakuwento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alamat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artikulo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balitaat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iba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pa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 306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72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proofErr w:type="spellStart"/>
            <w:r w:rsidRPr="005F658C">
              <w:rPr>
                <w:rFonts w:ascii="Century Gothic" w:hAnsi="Century Gothic"/>
                <w:b/>
                <w:bCs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/>
                <w:b/>
                <w:bCs/>
                <w:szCs w:val="20"/>
              </w:rPr>
              <w:t xml:space="preserve">: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Nakasusulat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ng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maikling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kuwento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na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may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tagpuan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,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tauhan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at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mga</w:t>
            </w:r>
            <w:proofErr w:type="spellEnd"/>
            <w:r w:rsidRPr="005F658C">
              <w:rPr>
                <w:rFonts w:ascii="Century Gothic" w:hAnsi="Century Gothic"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/>
                <w:szCs w:val="20"/>
              </w:rPr>
              <w:t>pangyayari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pp.307-308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29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szCs w:val="20"/>
              </w:rPr>
              <w:t>Layunin</w:t>
            </w:r>
            <w:proofErr w:type="spellEnd"/>
            <w:r w:rsidRPr="005F658C">
              <w:rPr>
                <w:rFonts w:ascii="Century Gothic" w:hAnsi="Century Gothic" w:cs="Tahoma"/>
                <w:szCs w:val="20"/>
              </w:rPr>
              <w:t xml:space="preserve">: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Pr="005F658C">
              <w:rPr>
                <w:rFonts w:ascii="Century Gothic" w:hAnsi="Century Gothic" w:cs="Tahoma"/>
                <w:b/>
                <w:i/>
                <w:szCs w:val="20"/>
              </w:rPr>
              <w:t>Pgtataya</w:t>
            </w:r>
            <w:proofErr w:type="spellEnd"/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 pp. 308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58C" w:rsidRPr="005F658C" w:rsidTr="004B33D3">
        <w:trPr>
          <w:trHeight w:val="313"/>
          <w:jc w:val="center"/>
        </w:trPr>
        <w:tc>
          <w:tcPr>
            <w:tcW w:w="342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333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18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</w:tc>
        <w:tc>
          <w:tcPr>
            <w:tcW w:w="372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290" w:type="dxa"/>
          </w:tcPr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reinforcements________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Activities:___________</w:t>
            </w:r>
          </w:p>
          <w:p w:rsidR="005F658C" w:rsidRPr="005F658C" w:rsidRDefault="005F658C" w:rsidP="004B33D3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658C" w:rsidRPr="005F658C" w:rsidRDefault="005F658C" w:rsidP="004B33D3">
            <w:pPr>
              <w:pStyle w:val="NoSpacing"/>
              <w:jc w:val="center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</w:tr>
    </w:tbl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  <w:bookmarkStart w:id="0" w:name="_GoBack"/>
      <w:bookmarkEnd w:id="0"/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1748C"/>
    <w:rsid w:val="00087E57"/>
    <w:rsid w:val="00152D81"/>
    <w:rsid w:val="00236EF9"/>
    <w:rsid w:val="002B5BFE"/>
    <w:rsid w:val="002D6C45"/>
    <w:rsid w:val="002E3DFB"/>
    <w:rsid w:val="003C2468"/>
    <w:rsid w:val="0045113E"/>
    <w:rsid w:val="00471F13"/>
    <w:rsid w:val="004B33D3"/>
    <w:rsid w:val="00565F40"/>
    <w:rsid w:val="005719D3"/>
    <w:rsid w:val="005C29A5"/>
    <w:rsid w:val="005F658C"/>
    <w:rsid w:val="006A3B10"/>
    <w:rsid w:val="006C5478"/>
    <w:rsid w:val="0076147D"/>
    <w:rsid w:val="007671D7"/>
    <w:rsid w:val="007F1B47"/>
    <w:rsid w:val="008014D5"/>
    <w:rsid w:val="00807747"/>
    <w:rsid w:val="008248C2"/>
    <w:rsid w:val="00882805"/>
    <w:rsid w:val="008F33D6"/>
    <w:rsid w:val="009627FB"/>
    <w:rsid w:val="009739DA"/>
    <w:rsid w:val="009B39EE"/>
    <w:rsid w:val="00A27BF0"/>
    <w:rsid w:val="00A32497"/>
    <w:rsid w:val="00A458B0"/>
    <w:rsid w:val="00A72D41"/>
    <w:rsid w:val="00A94099"/>
    <w:rsid w:val="00BA4127"/>
    <w:rsid w:val="00BE5884"/>
    <w:rsid w:val="00C03366"/>
    <w:rsid w:val="00C13387"/>
    <w:rsid w:val="00C3099F"/>
    <w:rsid w:val="00C3139A"/>
    <w:rsid w:val="00C3299D"/>
    <w:rsid w:val="00CA2467"/>
    <w:rsid w:val="00CD5C76"/>
    <w:rsid w:val="00D37B66"/>
    <w:rsid w:val="00D60BD4"/>
    <w:rsid w:val="00D65FF0"/>
    <w:rsid w:val="00D94E97"/>
    <w:rsid w:val="00E07490"/>
    <w:rsid w:val="00ED047E"/>
    <w:rsid w:val="00F42D15"/>
    <w:rsid w:val="00F72B81"/>
    <w:rsid w:val="00FC7B5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9BCEE-EF3F-4336-8D27-135BA22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4</cp:revision>
  <cp:lastPrinted>2015-08-03T14:20:00Z</cp:lastPrinted>
  <dcterms:created xsi:type="dcterms:W3CDTF">2015-05-24T12:39:00Z</dcterms:created>
  <dcterms:modified xsi:type="dcterms:W3CDTF">2015-08-03T14:38:00Z</dcterms:modified>
</cp:coreProperties>
</file>